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Canaan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tbl>
      <w:tblPr>
        <w:tblLayout w:type="fixed"/>
        <w:tblInd w:w="1800" w:type="dxa"/>
        <w:tblCellMar>
          <w:top w:w="0" w:type="dxa"/>
          <w:left w:w="0" w:type="dxa"/>
          <w:bottom w:w="0" w:type="dxa"/>
          <w:right w:w="0" w:type="dxa"/>
        </w:tblCellMar>
      </w:tblPr>
      <w:tr>
        <w:trPr>
          <w:trHeight w:val="220"/>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50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0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0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+1-212-947-7200</w:t>
      </w:r>
    </w:p>
    <w:p>
      <w:pPr>
        <w:spacing w:after="0" w:line="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H. Cai,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35/F Two Exchange Square 8 Connaught Place Central, 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3758-1200</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If only securities being registered on this Form are being offered pursuant to dividend or interest reinvestment plans, please check the following box.</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2" w:gutter="0" w:footer="0" w:header="0"/>
        </w:sectPr>
      </w:pPr>
    </w:p>
    <w:bookmarkStart w:id="1" w:name="page2"/>
    <w:bookmarkEnd w:id="1"/>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5"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Canaan Inc. is filing this Post-Effective Amendment No. 6 (the “Amendment”) to the registration statement on Form F-3 (Registration No. 333-285125 Canaan Inc.) (the “Registration Statement”) as an exhibits-only filing solely to correct certain typographical error introduced during the processing of the Edgarized version of the consent of KPMG Huazhen LLP attached as Exhibit 23.1 to Amendment No. 5 to the Registration Statement filed on June 15, 2026. Accordingly, this Amendment consists of only the facing page, this explanatory note, Part II of the Registration Statement, the signature pages to the Registration Statement and the filed exhibits. The remainder of the Registration Statement is unchanged from Post-Effective Amendment No. 4 to the Registration Statement filed on May 22, 2026 and has been omitted.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additional securities are being registered under this Amendment. All applicable registration fees were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Cayman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indemnification agreements with our directors and executive officers, the form of which was filed as Exhibit 10.2 to our registration statement on Form F-1, as amended (File No. 333-234356), we have agreed to indemnify our directors and executive officers against certain liabilities and expenses incurred by such persons in connection with claims made by reason of their being such a director or executive officer.</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underwriting agreement entered into in connection with an offering of our securities may also provide for indemnification of us and our officers and directors in certain cases.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maintain a directors and officers liability insurance policy for our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Index beginning on page II-4 of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00" w:hanging="220"/>
        <w:spacing w:after="0"/>
        <w:tabs>
          <w:tab w:leader="none" w:pos="1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left="660" w:firstLine="324"/>
        <w:spacing w:after="0" w:line="266"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6"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(iii)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320" w:right="20" w:firstLine="324"/>
        <w:spacing w:after="0" w:line="282" w:lineRule="auto"/>
        <w:rPr>
          <w:sz w:val="20"/>
          <w:szCs w:val="20"/>
          <w:color w:val="auto"/>
        </w:rPr>
      </w:pPr>
      <w:r>
        <w:rPr>
          <w:rFonts w:ascii="Times New Roman" w:cs="Times New Roman" w:eastAsia="Times New Roman" w:hAnsi="Times New Roman"/>
          <w:sz w:val="18"/>
          <w:szCs w:val="18"/>
          <w:color w:val="auto"/>
        </w:rPr>
        <w:t>(iv)  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item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 That, for the purpose of determining liability under the Securities Act to any purchaser:</w:t>
      </w:r>
    </w:p>
    <w:p>
      <w:pPr>
        <w:spacing w:after="0" w:line="225" w:lineRule="exact"/>
        <w:rPr>
          <w:sz w:val="20"/>
          <w:szCs w:val="20"/>
          <w:color w:val="auto"/>
        </w:rPr>
      </w:pPr>
    </w:p>
    <w:p>
      <w:pPr>
        <w:jc w:val="both"/>
        <w:ind w:left="320" w:right="20" w:firstLine="324"/>
        <w:spacing w:after="0" w:line="282" w:lineRule="auto"/>
        <w:rPr>
          <w:sz w:val="20"/>
          <w:szCs w:val="20"/>
          <w:color w:val="auto"/>
        </w:rPr>
      </w:pPr>
      <w:r>
        <w:rPr>
          <w:rFonts w:ascii="Times New Roman" w:cs="Times New Roman" w:eastAsia="Times New Roman" w:hAnsi="Times New Roman"/>
          <w:sz w:val="18"/>
          <w:szCs w:val="18"/>
          <w:color w:val="auto"/>
        </w:rPr>
        <w:t>(i)   Each prospectus filed by the registrant pursuant to Rule 424(b)(3) shall be deemed to be part of the registration statement as of the date the filed prospectus was deemed part of and included in the registration statement; and</w:t>
      </w:r>
    </w:p>
    <w:p>
      <w:pPr>
        <w:spacing w:after="0" w:line="162" w:lineRule="exact"/>
        <w:rPr>
          <w:sz w:val="20"/>
          <w:szCs w:val="20"/>
          <w:color w:val="auto"/>
        </w:rPr>
      </w:pPr>
    </w:p>
    <w:p>
      <w:pPr>
        <w:jc w:val="both"/>
        <w:ind w:left="320" w:firstLine="324"/>
        <w:spacing w:after="0" w:line="253" w:lineRule="auto"/>
        <w:rPr>
          <w:sz w:val="20"/>
          <w:szCs w:val="20"/>
          <w:color w:val="auto"/>
        </w:rPr>
      </w:pPr>
      <w:r>
        <w:rPr>
          <w:rFonts w:ascii="Times New Roman" w:cs="Times New Roman" w:eastAsia="Times New Roman" w:hAnsi="Times New Roman"/>
          <w:sz w:val="18"/>
          <w:szCs w:val="18"/>
          <w:color w:val="auto"/>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(6)   That, for the purpose of determining liability of the registrant under the Securities Act to any purchaser in the initial distribution of the securities:</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 w:name="page6"/>
    <w:bookmarkEnd w:id="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Any preliminary prospectus or prospectus of the undersigned registrant relating to the offering required to be filed pursuant to Rule 424;</w:t>
      </w:r>
    </w:p>
    <w:p>
      <w:pPr>
        <w:spacing w:after="0" w:line="225" w:lineRule="exact"/>
        <w:rPr>
          <w:sz w:val="20"/>
          <w:szCs w:val="20"/>
          <w:color w:val="auto"/>
        </w:rPr>
      </w:pPr>
    </w:p>
    <w:p>
      <w:pPr>
        <w:ind w:left="320" w:firstLine="324"/>
        <w:spacing w:after="0" w:line="282" w:lineRule="auto"/>
        <w:rPr>
          <w:sz w:val="20"/>
          <w:szCs w:val="20"/>
          <w:color w:val="auto"/>
        </w:rPr>
      </w:pPr>
      <w:r>
        <w:rPr>
          <w:rFonts w:ascii="Times New Roman" w:cs="Times New Roman" w:eastAsia="Times New Roman" w:hAnsi="Times New Roman"/>
          <w:sz w:val="18"/>
          <w:szCs w:val="18"/>
          <w:color w:val="auto"/>
        </w:rPr>
        <w:t>(ii)   Any free writing prospectus relating to the offering prepared by or on behalf of the undersigned registrant or used or referred to by the undersigned registrant;</w:t>
      </w:r>
    </w:p>
    <w:p>
      <w:pPr>
        <w:spacing w:after="0" w:line="162" w:lineRule="exact"/>
        <w:rPr>
          <w:sz w:val="20"/>
          <w:szCs w:val="20"/>
          <w:color w:val="auto"/>
        </w:rPr>
      </w:pPr>
    </w:p>
    <w:p>
      <w:pPr>
        <w:ind w:left="320" w:right="20" w:firstLine="324"/>
        <w:spacing w:after="0" w:line="282" w:lineRule="auto"/>
        <w:rPr>
          <w:sz w:val="20"/>
          <w:szCs w:val="20"/>
          <w:color w:val="auto"/>
        </w:rPr>
      </w:pPr>
      <w:r>
        <w:rPr>
          <w:rFonts w:ascii="Times New Roman" w:cs="Times New Roman" w:eastAsia="Times New Roman" w:hAnsi="Times New Roman"/>
          <w:sz w:val="18"/>
          <w:szCs w:val="18"/>
          <w:color w:val="auto"/>
        </w:rPr>
        <w:t>(iii)   The portion of any other free writing prospectus relating to the offering containing material information about the undersigned registrant or its securities provided by or on behalf of the undersigned registrant; and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(iv)   Any other communication that is an offer in the offering made by the undersigned registrant to the purchaser.</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20" w:type="dxa"/>
            <w:vAlign w:val="bottom"/>
            <w:gridSpan w:val="11"/>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7"/>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91"/>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Specimen American Depositary Receipt evidencing American Depositary Shares (included in Exhibit 4.3).</w:t>
              </w:r>
            </w:hyperlink>
          </w:p>
        </w:tc>
        <w:tc>
          <w:tcPr>
            <w:tcW w:w="2180" w:type="dxa"/>
            <w:vAlign w:val="bottom"/>
            <w:gridSpan w:val="4"/>
          </w:tcPr>
          <w:p>
            <w:pPr>
              <w:spacing w:after="0"/>
              <w:rPr>
                <w:sz w:val="24"/>
                <w:szCs w:val="24"/>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Registrant’s Specimen of Ordinary Share Certificate (incorporated by reference to Exhibit 4.1 to the registration statement on Form F-1</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(File No. 333-234356), as amended, initially filed with the Securities and Exchange Commission on October 28, 2019)</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Form of Deposit Agreement by and among the Registrant, the depositary and the owners and holders of the American Depositary</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Receipts issued thereunder (incorporated by reference to Exhibit 99.A to the registration statement on Form F-6 (File No. 333-295517),</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filed with the Securities and Exchange Commission on May 4, 2026)</w:t>
              </w:r>
            </w:hyperlink>
          </w:p>
        </w:tc>
        <w:tc>
          <w:tcPr>
            <w:tcW w:w="4900" w:type="dxa"/>
            <w:vAlign w:val="bottom"/>
            <w:gridSpan w:val="9"/>
          </w:tcPr>
          <w:p>
            <w:pPr>
              <w:spacing w:after="0"/>
              <w:rPr>
                <w:sz w:val="17"/>
                <w:szCs w:val="17"/>
                <w:color w:val="auto"/>
              </w:rPr>
            </w:pPr>
          </w:p>
        </w:tc>
      </w:tr>
      <w:tr>
        <w:trPr>
          <w:trHeight w:val="453"/>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Certificate of Designation for Preferred Shares</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Registrant’s Specimen of Warrant Certificate</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Indenture</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Subscription Rights Agreement</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Form of Subscription Rights Certificate</w:t>
            </w:r>
          </w:p>
        </w:tc>
      </w:tr>
      <w:tr>
        <w:trPr>
          <w:trHeight w:val="432"/>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Specimen Unit Certificate</w:t>
            </w:r>
          </w:p>
        </w:tc>
      </w:tr>
      <w:tr>
        <w:trPr>
          <w:trHeight w:val="391"/>
        </w:trPr>
        <w:tc>
          <w:tcPr>
            <w:tcW w:w="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2"/>
              </w:rPr>
            </w:pPr>
            <w:hyperlink r:id="rId20">
              <w:r>
                <w:rPr>
                  <w:rFonts w:ascii="Times New Roman" w:cs="Times New Roman" w:eastAsia="Times New Roman" w:hAnsi="Times New Roman"/>
                  <w:sz w:val="18"/>
                  <w:szCs w:val="18"/>
                  <w:color w:val="0000EE"/>
                  <w:w w:val="92"/>
                </w:rPr>
                <w:t>5.</w:t>
              </w:r>
              <w:r>
                <w:rPr>
                  <w:rFonts w:ascii="Times New Roman" w:cs="Times New Roman" w:eastAsia="Times New Roman" w:hAnsi="Times New Roman"/>
                  <w:sz w:val="18"/>
                  <w:szCs w:val="18"/>
                  <w:u w:val="single" w:color="auto"/>
                  <w:color w:val="0000EE"/>
                  <w:w w:val="92"/>
                </w:rPr>
                <w:t>1***</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Opinion of Maples and Calder (Hong Kong) LLP regarding the validity of the securities being registered</w:t>
              </w:r>
            </w:hyperlink>
          </w:p>
        </w:tc>
        <w:tc>
          <w:tcPr>
            <w:tcW w:w="2340" w:type="dxa"/>
            <w:vAlign w:val="bottom"/>
            <w:gridSpan w:val="5"/>
          </w:tcPr>
          <w:p>
            <w:pPr>
              <w:spacing w:after="0"/>
              <w:rPr>
                <w:sz w:val="24"/>
                <w:szCs w:val="24"/>
                <w:color w:val="auto"/>
              </w:rPr>
            </w:pPr>
          </w:p>
        </w:tc>
      </w:tr>
      <w:tr>
        <w:trPr>
          <w:trHeight w:val="412"/>
        </w:trPr>
        <w:tc>
          <w:tcPr>
            <w:tcW w:w="500" w:type="dxa"/>
            <w:vAlign w:val="bottom"/>
            <w:gridSpan w:val="3"/>
          </w:tcPr>
          <w:p>
            <w:pPr>
              <w:spacing w:after="0"/>
              <w:rPr>
                <w:rFonts w:ascii="Times New Roman" w:cs="Times New Roman" w:eastAsia="Times New Roman" w:hAnsi="Times New Roman"/>
                <w:sz w:val="18"/>
                <w:szCs w:val="18"/>
                <w:color w:val="0000EE"/>
                <w:w w:val="92"/>
              </w:rPr>
            </w:pPr>
            <w:hyperlink r:id="rId20">
              <w:r>
                <w:rPr>
                  <w:rFonts w:ascii="Times New Roman" w:cs="Times New Roman" w:eastAsia="Times New Roman" w:hAnsi="Times New Roman"/>
                  <w:sz w:val="18"/>
                  <w:szCs w:val="18"/>
                  <w:color w:val="0000EE"/>
                  <w:w w:val="92"/>
                </w:rPr>
                <w:t>8.</w:t>
              </w:r>
              <w:r>
                <w:rPr>
                  <w:rFonts w:ascii="Times New Roman" w:cs="Times New Roman" w:eastAsia="Times New Roman" w:hAnsi="Times New Roman"/>
                  <w:sz w:val="18"/>
                  <w:szCs w:val="18"/>
                  <w:u w:val="single" w:color="auto"/>
                  <w:color w:val="0000EE"/>
                  <w:w w:val="92"/>
                </w:rPr>
                <w:t>1***</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Opinion of Maples and Calder (Hong Kong) LLP regarding certain Cayman Islands tax matters (included in Exhibit 5.1)</w:t>
              </w:r>
            </w:hyperlink>
          </w:p>
        </w:tc>
      </w:tr>
      <w:tr>
        <w:trPr>
          <w:trHeight w:val="412"/>
        </w:trPr>
        <w:tc>
          <w:tcPr>
            <w:tcW w:w="50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2"/>
              </w:rPr>
            </w:pPr>
            <w:hyperlink r:id="rId21">
              <w:r>
                <w:rPr>
                  <w:rFonts w:ascii="Times New Roman" w:cs="Times New Roman" w:eastAsia="Times New Roman" w:hAnsi="Times New Roman"/>
                  <w:sz w:val="18"/>
                  <w:szCs w:val="18"/>
                  <w:color w:val="0000EE"/>
                  <w:w w:val="92"/>
                </w:rPr>
                <w:t>8.</w:t>
              </w:r>
              <w:r>
                <w:rPr>
                  <w:rFonts w:ascii="Times New Roman" w:cs="Times New Roman" w:eastAsia="Times New Roman" w:hAnsi="Times New Roman"/>
                  <w:sz w:val="18"/>
                  <w:szCs w:val="18"/>
                  <w:u w:val="single" w:color="auto"/>
                  <w:color w:val="0000EE"/>
                  <w:w w:val="92"/>
                </w:rPr>
                <w:t>2***</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Opinion of Commerce &amp; Finance Law Offices regarding certain PRC law matters</w:t>
              </w:r>
            </w:hyperlink>
          </w:p>
        </w:tc>
        <w:tc>
          <w:tcPr>
            <w:tcW w:w="1200" w:type="dxa"/>
            <w:vAlign w:val="bottom"/>
            <w:gridSpan w:val="2"/>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r>
      <w:tr>
        <w:trPr>
          <w:trHeight w:val="412"/>
        </w:trPr>
        <w:tc>
          <w:tcPr>
            <w:tcW w:w="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2"/>
              </w:rPr>
              <w:t>23.</w:t>
            </w:r>
            <w:r>
              <w:rPr>
                <w:rFonts w:ascii="Times New Roman" w:cs="Times New Roman" w:eastAsia="Times New Roman" w:hAnsi="Times New Roman"/>
                <w:sz w:val="18"/>
                <w:szCs w:val="18"/>
                <w:u w:val="single" w:color="auto"/>
                <w:color w:val="0000EE"/>
                <w:w w:val="92"/>
              </w:rPr>
              <w:t>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KPMG Huazhen LLP, Independent Registered Public Accounting Firm</w:t>
            </w:r>
          </w:p>
        </w:tc>
        <w:tc>
          <w:tcPr>
            <w:tcW w:w="3920" w:type="dxa"/>
            <w:vAlign w:val="bottom"/>
            <w:gridSpan w:val="6"/>
          </w:tcPr>
          <w:p>
            <w:pPr>
              <w:spacing w:after="0"/>
              <w:rPr>
                <w:sz w:val="24"/>
                <w:szCs w:val="24"/>
                <w:color w:val="auto"/>
              </w:rPr>
            </w:pPr>
          </w:p>
        </w:tc>
      </w:tr>
      <w:tr>
        <w:trPr>
          <w:trHeight w:val="412"/>
        </w:trPr>
        <w:tc>
          <w:tcPr>
            <w:tcW w:w="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23.</w:t>
              </w:r>
              <w:r>
                <w:rPr>
                  <w:rFonts w:ascii="Times New Roman" w:cs="Times New Roman" w:eastAsia="Times New Roman" w:hAnsi="Times New Roman"/>
                  <w:sz w:val="18"/>
                  <w:szCs w:val="18"/>
                  <w:u w:val="single" w:color="auto"/>
                  <w:color w:val="0000EE"/>
                  <w:w w:val="99"/>
                </w:rPr>
                <w:t>2***</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Consent of Maples and Calder (Hong Kong) LLP (included in Exhibit 5.1)</w:t>
              </w:r>
            </w:hyperlink>
          </w:p>
        </w:tc>
        <w:tc>
          <w:tcPr>
            <w:tcW w:w="4500" w:type="dxa"/>
            <w:vAlign w:val="bottom"/>
            <w:gridSpan w:val="8"/>
          </w:tcPr>
          <w:p>
            <w:pPr>
              <w:spacing w:after="0"/>
              <w:rPr>
                <w:sz w:val="24"/>
                <w:szCs w:val="24"/>
                <w:color w:val="auto"/>
              </w:rPr>
            </w:pPr>
          </w:p>
        </w:tc>
      </w:tr>
      <w:tr>
        <w:trPr>
          <w:trHeight w:val="412"/>
        </w:trPr>
        <w:tc>
          <w:tcPr>
            <w:tcW w:w="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23.</w:t>
              </w:r>
              <w:r>
                <w:rPr>
                  <w:rFonts w:ascii="Times New Roman" w:cs="Times New Roman" w:eastAsia="Times New Roman" w:hAnsi="Times New Roman"/>
                  <w:sz w:val="18"/>
                  <w:szCs w:val="18"/>
                  <w:u w:val="single" w:color="auto"/>
                  <w:color w:val="0000EE"/>
                  <w:w w:val="99"/>
                </w:rPr>
                <w:t>3***</w:t>
              </w:r>
            </w:hyperlink>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Consent of Commerce &amp; Finance Law Offices</w:t>
              </w:r>
            </w:hyperlink>
          </w:p>
        </w:tc>
        <w:tc>
          <w:tcPr>
            <w:tcW w:w="6520" w:type="dxa"/>
            <w:vAlign w:val="bottom"/>
            <w:gridSpan w:val="11"/>
          </w:tcPr>
          <w:p>
            <w:pPr>
              <w:spacing w:after="0"/>
              <w:rPr>
                <w:sz w:val="24"/>
                <w:szCs w:val="24"/>
                <w:color w:val="auto"/>
              </w:rPr>
            </w:pPr>
          </w:p>
        </w:tc>
      </w:tr>
      <w:tr>
        <w:trPr>
          <w:trHeight w:val="412"/>
        </w:trPr>
        <w:tc>
          <w:tcPr>
            <w:tcW w:w="500" w:type="dxa"/>
            <w:vAlign w:val="bottom"/>
            <w:gridSpan w:val="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Power of attorney (incorporated by reference to Exhibit 24.1 to the registration statement on Form F-3 (File No. 333-285125), filed with</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the Securities and Exchange Commission on February 21, 2025)</w:t>
              </w:r>
            </w:hyperlink>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r>
      <w:tr>
        <w:trPr>
          <w:trHeight w:val="434"/>
        </w:trPr>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Statement of Eligibility of Trustee under the Indenture (to be filed separately under the electronic form type 305B2, if applicable in</w:t>
            </w: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accordance with the requirements of Section 305(b)(2) of the Trust Indenture Act and the applicable rules thereunder)</w:t>
            </w:r>
          </w:p>
        </w:tc>
      </w:tr>
      <w:tr>
        <w:trPr>
          <w:trHeight w:val="391"/>
        </w:trPr>
        <w:tc>
          <w:tcPr>
            <w:tcW w:w="500" w:type="dxa"/>
            <w:vAlign w:val="bottom"/>
            <w:gridSpan w:val="3"/>
          </w:tcPr>
          <w:p>
            <w:pPr>
              <w:spacing w:after="0"/>
              <w:rPr>
                <w:rFonts w:ascii="Times New Roman" w:cs="Times New Roman" w:eastAsia="Times New Roman" w:hAnsi="Times New Roman"/>
                <w:sz w:val="18"/>
                <w:szCs w:val="18"/>
                <w:color w:val="0000EE"/>
                <w:w w:val="85"/>
              </w:rPr>
            </w:pPr>
            <w:hyperlink r:id="rId24">
              <w:r>
                <w:rPr>
                  <w:rFonts w:ascii="Times New Roman" w:cs="Times New Roman" w:eastAsia="Times New Roman" w:hAnsi="Times New Roman"/>
                  <w:sz w:val="18"/>
                  <w:szCs w:val="18"/>
                  <w:color w:val="0000EE"/>
                  <w:w w:val="85"/>
                </w:rPr>
                <w:t>107***</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13"/>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Calculation of Filing Fee Table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ind w:left="460" w:right="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or furnished under the Exchange Act and incorporated by reference.</w:t>
      </w:r>
    </w:p>
    <w:p>
      <w:pPr>
        <w:spacing w:after="0" w:line="16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Post Effective Amendment No. 6 to the Registration Statement on Form F-3.</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F-3 and has duly caused this Post-Effective Amendment No. 6 to be signed on its behalf by the undersigned, thereunto duly authorized, in Singapore, on June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CANAAN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registration statement has been signed by the following persons on June 16, 2026 in the capacities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6"/>
        </w:trPr>
        <w:tc>
          <w:tcPr>
            <w:tcW w:w="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/s/ Nangeng Zhang</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Nangeng Zhang</w:t>
            </w:r>
          </w:p>
        </w:tc>
        <w:tc>
          <w:tcPr>
            <w:tcW w:w="960" w:type="dxa"/>
            <w:vAlign w:val="bottom"/>
          </w:tcPr>
          <w:p>
            <w:pPr>
              <w:spacing w:after="0"/>
              <w:rPr>
                <w:sz w:val="19"/>
                <w:szCs w:val="19"/>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Wenjun Zhang</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Hongchao Du</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Zhitang Shu</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Name: Yaping Zhang</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tcBorders>
              <w:bottom w:val="single" w:sz="8" w:color="auto"/>
            </w:tcBorders>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340" w:type="dxa"/>
            <w:vAlign w:val="bottom"/>
          </w:tcPr>
          <w:p>
            <w:pPr>
              <w:spacing w:after="0"/>
              <w:rPr>
                <w:sz w:val="19"/>
                <w:szCs w:val="19"/>
                <w:color w:val="auto"/>
              </w:rPr>
            </w:pPr>
          </w:p>
        </w:tc>
        <w:tc>
          <w:tcPr>
            <w:tcW w:w="42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Name: James Jin Cheng</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Nangeng Zhang</w:t>
            </w:r>
          </w:p>
        </w:tc>
        <w:tc>
          <w:tcPr>
            <w:tcW w:w="960" w:type="dxa"/>
            <w:vAlign w:val="bottom"/>
          </w:tcPr>
          <w:p>
            <w:pPr>
              <w:spacing w:after="0"/>
              <w:rPr>
                <w:sz w:val="24"/>
                <w:szCs w:val="24"/>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attorney in fact</w:t>
            </w:r>
          </w:p>
        </w:tc>
      </w:tr>
      <w:tr>
        <w:trPr>
          <w:trHeight w:val="228"/>
        </w:trPr>
        <w:tc>
          <w:tcPr>
            <w:tcW w:w="340" w:type="dxa"/>
            <w:vAlign w:val="bottom"/>
          </w:tcPr>
          <w:p>
            <w:pPr>
              <w:spacing w:after="0"/>
              <w:rPr>
                <w:sz w:val="19"/>
                <w:szCs w:val="19"/>
                <w:color w:val="auto"/>
              </w:rPr>
            </w:pPr>
          </w:p>
        </w:tc>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Nangeng Zhang</w:t>
            </w: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30"/>
        </w:trPr>
        <w:tc>
          <w:tcPr>
            <w:tcW w:w="3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OF THE REGISTRANT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undersigned, the duly authorized representative in the United States of Canaan Inc. has signed this registration statement or amendment thereto in New York, United States on June 16,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on behalf of Cogency Global 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April 15, 2026, with respect to the consolidated financial statements of Canaan Inc., and the effectiveness of internal control over financial reporting, incorporated herein by reference and to the reference to our firm under the heading “Experts” in the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18" Type="http://schemas.openxmlformats.org/officeDocument/2006/relationships/hyperlink" Target="https://www.sec.gov/Archives/edgar/data/1474274/000119380526000558/e665440_ex99-a.htm" TargetMode="External"/><Relationship Id="rId19" Type="http://schemas.openxmlformats.org/officeDocument/2006/relationships/hyperlink" Target="https://www.sec.gov/Archives/edgar/data/1780652/000119312519276263/d773846dex41.htm" TargetMode="External"/><Relationship Id="rId20" Type="http://schemas.openxmlformats.org/officeDocument/2006/relationships/hyperlink" Target="https://www.sec.gov/Archives/edgar/data/1780652/000110465926065698/tm2614486d2_ex5-1.htm" TargetMode="External"/><Relationship Id="rId21" Type="http://schemas.openxmlformats.org/officeDocument/2006/relationships/hyperlink" Target="https://www.sec.gov/Archives/edgar/data/1780652/000110465926065698/tm2614486d2_ex8-2.htm" TargetMode="External"/><Relationship Id="rId22" Type="http://schemas.openxmlformats.org/officeDocument/2006/relationships/hyperlink" Target="https://www.sec.gov/Archives/edgar/data/1780652/000110465926065698/tm2614486d2_ex23-3.htm" TargetMode="External"/><Relationship Id="rId23" Type="http://schemas.openxmlformats.org/officeDocument/2006/relationships/hyperlink" Target="https://www.sec.gov/Archives/edgar/data/1780652/000110465925016121/tm257059-1_f3asr.htm#tPOW" TargetMode="External"/><Relationship Id="rId24" Type="http://schemas.openxmlformats.org/officeDocument/2006/relationships/hyperlink" Target="https://www.sec.gov/Archives/edgar/data/1780652/000110465925016121/tm257059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2026-06-16T06:12:34Z</dcterms:created>
  <dcterms:modified xsi:type="dcterms:W3CDTF">2026-06-16T06:12:34Z</dcterms:modified>
</cp:coreProperties>
</file>